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983C34" w14:textId="2D1D8597" w:rsidR="008C5F3D" w:rsidRPr="006816DE" w:rsidRDefault="008C5F3D" w:rsidP="008C5F3D">
      <w:pPr>
        <w:tabs>
          <w:tab w:val="left" w:pos="708"/>
        </w:tabs>
        <w:spacing w:line="240" w:lineRule="auto"/>
        <w:ind w:firstLine="709"/>
        <w:jc w:val="center"/>
        <w:rPr>
          <w:rFonts w:cs="Arial"/>
          <w:b/>
          <w:u w:val="single"/>
        </w:rPr>
      </w:pPr>
      <w:r w:rsidRPr="006816DE">
        <w:rPr>
          <w:rFonts w:cs="Arial"/>
          <w:b/>
          <w:u w:val="single"/>
        </w:rPr>
        <w:t>Technická zpráva</w:t>
      </w:r>
    </w:p>
    <w:p w14:paraId="654A748D" w14:textId="77777777" w:rsidR="008C5F3D" w:rsidRPr="006816DE" w:rsidRDefault="008C5F3D" w:rsidP="008C5F3D">
      <w:pPr>
        <w:tabs>
          <w:tab w:val="left" w:pos="708"/>
        </w:tabs>
        <w:spacing w:line="240" w:lineRule="auto"/>
        <w:rPr>
          <w:rFonts w:cs="Arial"/>
          <w:b/>
          <w:u w:val="single"/>
        </w:rPr>
      </w:pPr>
    </w:p>
    <w:p w14:paraId="74662102" w14:textId="77777777" w:rsidR="008C5F3D" w:rsidRPr="006816DE" w:rsidRDefault="008C5F3D" w:rsidP="008C5F3D">
      <w:pPr>
        <w:tabs>
          <w:tab w:val="left" w:pos="708"/>
        </w:tabs>
        <w:spacing w:line="240" w:lineRule="auto"/>
        <w:rPr>
          <w:rFonts w:cs="Arial"/>
          <w:b/>
        </w:rPr>
      </w:pPr>
    </w:p>
    <w:p w14:paraId="0D0D3720" w14:textId="77777777" w:rsidR="008C5F3D" w:rsidRPr="006816DE" w:rsidRDefault="008C5F3D" w:rsidP="008C5F3D">
      <w:pPr>
        <w:tabs>
          <w:tab w:val="left" w:pos="708"/>
        </w:tabs>
        <w:spacing w:line="240" w:lineRule="auto"/>
        <w:rPr>
          <w:rFonts w:cs="Arial"/>
          <w:b/>
        </w:rPr>
      </w:pPr>
      <w:r w:rsidRPr="006816DE">
        <w:rPr>
          <w:rFonts w:cs="Arial"/>
          <w:b/>
        </w:rPr>
        <w:t>Název veřejné zakázky</w:t>
      </w:r>
    </w:p>
    <w:p w14:paraId="4F088198" w14:textId="77777777" w:rsidR="008C5F3D" w:rsidRPr="006816DE" w:rsidRDefault="008C5F3D" w:rsidP="008C5F3D">
      <w:pPr>
        <w:tabs>
          <w:tab w:val="left" w:pos="708"/>
        </w:tabs>
        <w:spacing w:line="240" w:lineRule="auto"/>
        <w:rPr>
          <w:rFonts w:cs="Arial"/>
          <w:b/>
        </w:rPr>
      </w:pPr>
      <w:r w:rsidRPr="006816DE">
        <w:rPr>
          <w:rFonts w:cs="Arial"/>
          <w:b/>
        </w:rPr>
        <w:t xml:space="preserve">Deratizace </w:t>
      </w:r>
      <w:r w:rsidR="002549EF" w:rsidRPr="006816DE">
        <w:rPr>
          <w:rFonts w:cs="Arial"/>
          <w:b/>
        </w:rPr>
        <w:t>a dezinfekce obj</w:t>
      </w:r>
      <w:r w:rsidR="00B9555A" w:rsidRPr="006816DE">
        <w:rPr>
          <w:rFonts w:cs="Arial"/>
          <w:b/>
        </w:rPr>
        <w:t>ektů v obvodu OŘ Plzeň 2020/2022</w:t>
      </w:r>
    </w:p>
    <w:p w14:paraId="14607C30" w14:textId="77777777" w:rsidR="008C5F3D" w:rsidRPr="006816DE" w:rsidRDefault="008C5F3D" w:rsidP="008C5F3D">
      <w:pPr>
        <w:tabs>
          <w:tab w:val="left" w:pos="708"/>
        </w:tabs>
        <w:spacing w:line="240" w:lineRule="auto"/>
        <w:rPr>
          <w:rFonts w:cs="Arial"/>
        </w:rPr>
      </w:pPr>
      <w:r w:rsidRPr="006816DE">
        <w:rPr>
          <w:rFonts w:cs="Arial"/>
        </w:rPr>
        <w:t xml:space="preserve">Evidenční číslo VZ: </w:t>
      </w:r>
      <w:r w:rsidR="005C7F23" w:rsidRPr="006816DE">
        <w:rPr>
          <w:rFonts w:cs="Arial"/>
          <w:bCs/>
        </w:rPr>
        <w:t>65420212</w:t>
      </w:r>
    </w:p>
    <w:p w14:paraId="5488FA5A" w14:textId="77777777" w:rsidR="008C5F3D" w:rsidRPr="006816DE" w:rsidRDefault="008C5F3D" w:rsidP="008C5F3D">
      <w:pPr>
        <w:tabs>
          <w:tab w:val="left" w:pos="708"/>
        </w:tabs>
        <w:spacing w:line="240" w:lineRule="auto"/>
        <w:rPr>
          <w:rFonts w:cs="Arial"/>
          <w:b/>
        </w:rPr>
      </w:pPr>
      <w:r w:rsidRPr="006816DE">
        <w:rPr>
          <w:rFonts w:cs="Arial"/>
          <w:b/>
        </w:rPr>
        <w:t>Druh veřejné zakázky</w:t>
      </w:r>
    </w:p>
    <w:p w14:paraId="25F94263" w14:textId="77777777" w:rsidR="008C5F3D" w:rsidRPr="006816DE" w:rsidRDefault="008C5F3D" w:rsidP="008C5F3D">
      <w:pPr>
        <w:tabs>
          <w:tab w:val="left" w:pos="708"/>
        </w:tabs>
        <w:spacing w:line="240" w:lineRule="auto"/>
        <w:rPr>
          <w:rFonts w:cs="Arial"/>
        </w:rPr>
      </w:pPr>
      <w:r w:rsidRPr="006816DE">
        <w:rPr>
          <w:rFonts w:cs="Arial"/>
        </w:rPr>
        <w:t>Jedná se o zakázku na služby.</w:t>
      </w:r>
    </w:p>
    <w:p w14:paraId="667494D2" w14:textId="77777777" w:rsidR="008C5F3D" w:rsidRPr="006816DE" w:rsidRDefault="008C5F3D" w:rsidP="008C5F3D">
      <w:pPr>
        <w:tabs>
          <w:tab w:val="left" w:pos="708"/>
        </w:tabs>
        <w:spacing w:line="240" w:lineRule="auto"/>
        <w:rPr>
          <w:rFonts w:cs="Arial"/>
          <w:b/>
        </w:rPr>
      </w:pPr>
      <w:r w:rsidRPr="006816DE">
        <w:rPr>
          <w:rFonts w:cs="Arial"/>
          <w:b/>
        </w:rPr>
        <w:t xml:space="preserve">CPV: </w:t>
      </w:r>
      <w:r w:rsidRPr="006816DE">
        <w:rPr>
          <w:rFonts w:cs="Arial"/>
        </w:rPr>
        <w:t>90921000-9</w:t>
      </w:r>
    </w:p>
    <w:p w14:paraId="217E39B9" w14:textId="77777777" w:rsidR="008C5F3D" w:rsidRPr="006816DE" w:rsidRDefault="008C5F3D" w:rsidP="008C5F3D">
      <w:pPr>
        <w:tabs>
          <w:tab w:val="left" w:pos="708"/>
        </w:tabs>
        <w:spacing w:line="240" w:lineRule="auto"/>
        <w:rPr>
          <w:rFonts w:cs="Arial"/>
          <w:b/>
        </w:rPr>
      </w:pPr>
      <w:r w:rsidRPr="006816DE">
        <w:rPr>
          <w:rFonts w:cs="Arial"/>
          <w:b/>
        </w:rPr>
        <w:t>Předpokládaná hodnota zakázky</w:t>
      </w:r>
    </w:p>
    <w:p w14:paraId="0279243C" w14:textId="51611AA6" w:rsidR="008C5F3D" w:rsidRPr="006B7B6F" w:rsidRDefault="008C5F3D" w:rsidP="008C5F3D">
      <w:pPr>
        <w:tabs>
          <w:tab w:val="center" w:pos="4607"/>
        </w:tabs>
        <w:spacing w:line="240" w:lineRule="auto"/>
        <w:rPr>
          <w:rFonts w:cs="Arial"/>
        </w:rPr>
      </w:pPr>
      <w:r w:rsidRPr="006816DE">
        <w:rPr>
          <w:rFonts w:cs="Arial"/>
        </w:rPr>
        <w:t xml:space="preserve">Zadavatel si </w:t>
      </w:r>
      <w:r w:rsidRPr="006B7B6F">
        <w:rPr>
          <w:rFonts w:cs="Arial"/>
        </w:rPr>
        <w:t xml:space="preserve">vyhrazuje právo objednávat plnění zakázky v množství dle svých skutečných potřeb, to znamená, že </w:t>
      </w:r>
      <w:r w:rsidR="007A201B" w:rsidRPr="006B7B6F">
        <w:rPr>
          <w:rFonts w:cs="Arial"/>
        </w:rPr>
        <w:t>zhotovitelem</w:t>
      </w:r>
      <w:r w:rsidRPr="006B7B6F">
        <w:rPr>
          <w:rFonts w:cs="Arial"/>
        </w:rPr>
        <w:t xml:space="preserve"> bude vykazováno plnění pouze d</w:t>
      </w:r>
      <w:r w:rsidR="005E6B68" w:rsidRPr="006B7B6F">
        <w:rPr>
          <w:rFonts w:cs="Arial"/>
        </w:rPr>
        <w:t>le skutečných potřeb zadavatele.</w:t>
      </w:r>
    </w:p>
    <w:p w14:paraId="140A45C0" w14:textId="2E96035F" w:rsidR="00241E25" w:rsidRPr="006816DE" w:rsidRDefault="00241E25" w:rsidP="006816DE">
      <w:pPr>
        <w:tabs>
          <w:tab w:val="center" w:pos="4607"/>
        </w:tabs>
        <w:spacing w:after="120" w:line="240" w:lineRule="auto"/>
        <w:rPr>
          <w:rFonts w:cs="Arial"/>
        </w:rPr>
      </w:pPr>
      <w:r w:rsidRPr="006816DE">
        <w:rPr>
          <w:rFonts w:cs="Arial"/>
        </w:rPr>
        <w:t>Předpokládané objemy jednotlivých služeb:</w:t>
      </w:r>
    </w:p>
    <w:p w14:paraId="51435B0B" w14:textId="18B92C21" w:rsidR="00241E25" w:rsidRPr="006816DE" w:rsidRDefault="00241E25" w:rsidP="006816DE">
      <w:pPr>
        <w:pStyle w:val="Odstavecseseznamem"/>
        <w:numPr>
          <w:ilvl w:val="0"/>
          <w:numId w:val="42"/>
        </w:numPr>
        <w:tabs>
          <w:tab w:val="center" w:pos="4607"/>
        </w:tabs>
        <w:spacing w:after="60" w:line="240" w:lineRule="auto"/>
        <w:ind w:left="714" w:hanging="357"/>
        <w:contextualSpacing w:val="0"/>
        <w:rPr>
          <w:rFonts w:cs="Arial"/>
        </w:rPr>
      </w:pPr>
      <w:r w:rsidRPr="006816DE">
        <w:rPr>
          <w:rFonts w:cs="Arial"/>
        </w:rPr>
        <w:t>deratizace 2021</w:t>
      </w:r>
      <w:r w:rsidRPr="006816DE">
        <w:rPr>
          <w:rFonts w:cs="Arial"/>
        </w:rPr>
        <w:tab/>
        <w:t>1 450 000,- Kč</w:t>
      </w:r>
    </w:p>
    <w:p w14:paraId="1E013F97" w14:textId="3D02F532" w:rsidR="00241E25" w:rsidRPr="006816DE" w:rsidRDefault="00241E25" w:rsidP="006816DE">
      <w:pPr>
        <w:pStyle w:val="Odstavecseseznamem"/>
        <w:numPr>
          <w:ilvl w:val="0"/>
          <w:numId w:val="42"/>
        </w:numPr>
        <w:tabs>
          <w:tab w:val="center" w:pos="4607"/>
        </w:tabs>
        <w:spacing w:after="60" w:line="240" w:lineRule="auto"/>
        <w:ind w:left="714" w:hanging="357"/>
        <w:contextualSpacing w:val="0"/>
        <w:rPr>
          <w:rFonts w:cs="Arial"/>
        </w:rPr>
      </w:pPr>
      <w:r w:rsidRPr="006816DE">
        <w:rPr>
          <w:rFonts w:cs="Arial"/>
        </w:rPr>
        <w:t>deratizace 2022</w:t>
      </w:r>
      <w:r w:rsidRPr="006816DE">
        <w:rPr>
          <w:rFonts w:cs="Arial"/>
        </w:rPr>
        <w:tab/>
        <w:t>1 450 000,- Kč</w:t>
      </w:r>
    </w:p>
    <w:p w14:paraId="4C0C1107" w14:textId="19564781" w:rsidR="00241E25" w:rsidRPr="006816DE" w:rsidRDefault="00241E25" w:rsidP="006816DE">
      <w:pPr>
        <w:pStyle w:val="Odstavecseseznamem"/>
        <w:numPr>
          <w:ilvl w:val="0"/>
          <w:numId w:val="42"/>
        </w:numPr>
        <w:tabs>
          <w:tab w:val="center" w:pos="4607"/>
        </w:tabs>
        <w:spacing w:after="60" w:line="240" w:lineRule="auto"/>
        <w:ind w:left="714" w:hanging="357"/>
        <w:contextualSpacing w:val="0"/>
        <w:rPr>
          <w:rFonts w:cs="Arial"/>
        </w:rPr>
      </w:pPr>
      <w:r w:rsidRPr="006816DE">
        <w:rPr>
          <w:rFonts w:cs="Arial"/>
        </w:rPr>
        <w:t>desinfekce 2020</w:t>
      </w:r>
      <w:r w:rsidRPr="006816DE">
        <w:rPr>
          <w:rFonts w:cs="Arial"/>
        </w:rPr>
        <w:tab/>
        <w:t xml:space="preserve">   600 000,- Kč </w:t>
      </w:r>
    </w:p>
    <w:p w14:paraId="634D9348" w14:textId="2D552F5F" w:rsidR="00241E25" w:rsidRPr="006816DE" w:rsidRDefault="00241E25" w:rsidP="006816DE">
      <w:pPr>
        <w:pStyle w:val="Odstavecseseznamem"/>
        <w:numPr>
          <w:ilvl w:val="0"/>
          <w:numId w:val="42"/>
        </w:numPr>
        <w:tabs>
          <w:tab w:val="center" w:pos="4607"/>
        </w:tabs>
        <w:spacing w:after="60" w:line="240" w:lineRule="auto"/>
        <w:ind w:left="714" w:hanging="357"/>
        <w:contextualSpacing w:val="0"/>
        <w:rPr>
          <w:rFonts w:cs="Arial"/>
        </w:rPr>
      </w:pPr>
      <w:r w:rsidRPr="006816DE">
        <w:rPr>
          <w:rFonts w:cs="Arial"/>
        </w:rPr>
        <w:t xml:space="preserve">desinfekce 2021                            2 400 000,- </w:t>
      </w:r>
      <w:r w:rsidR="000D27A1" w:rsidRPr="006816DE">
        <w:rPr>
          <w:rFonts w:cs="Arial"/>
        </w:rPr>
        <w:t>K</w:t>
      </w:r>
      <w:r w:rsidRPr="006816DE">
        <w:rPr>
          <w:rFonts w:cs="Arial"/>
        </w:rPr>
        <w:t>č</w:t>
      </w:r>
    </w:p>
    <w:p w14:paraId="304D1CB8" w14:textId="5062DFD1" w:rsidR="00241E25" w:rsidRPr="006816DE" w:rsidRDefault="00241E25" w:rsidP="006816DE">
      <w:pPr>
        <w:pStyle w:val="Odstavecseseznamem"/>
        <w:numPr>
          <w:ilvl w:val="0"/>
          <w:numId w:val="42"/>
        </w:numPr>
        <w:tabs>
          <w:tab w:val="center" w:pos="4607"/>
        </w:tabs>
        <w:spacing w:after="60" w:line="240" w:lineRule="auto"/>
        <w:ind w:left="714" w:hanging="357"/>
        <w:contextualSpacing w:val="0"/>
        <w:rPr>
          <w:rFonts w:cs="Arial"/>
        </w:rPr>
      </w:pPr>
      <w:r w:rsidRPr="006816DE">
        <w:rPr>
          <w:rFonts w:cs="Arial"/>
        </w:rPr>
        <w:t>desinfekce 2022                            1 100 000,- Kč</w:t>
      </w:r>
    </w:p>
    <w:p w14:paraId="7C6FC3D8" w14:textId="77777777" w:rsidR="008C5F3D" w:rsidRPr="006816DE" w:rsidRDefault="008C5F3D" w:rsidP="006816DE">
      <w:pPr>
        <w:tabs>
          <w:tab w:val="left" w:pos="708"/>
        </w:tabs>
        <w:spacing w:before="240" w:line="240" w:lineRule="auto"/>
        <w:rPr>
          <w:rFonts w:cs="Arial"/>
          <w:b/>
        </w:rPr>
      </w:pPr>
      <w:r w:rsidRPr="006816DE">
        <w:rPr>
          <w:rFonts w:cs="Arial"/>
          <w:b/>
        </w:rPr>
        <w:t>Klasifikace produkce (CZ-CPA)</w:t>
      </w:r>
    </w:p>
    <w:p w14:paraId="66B9428F" w14:textId="77777777" w:rsidR="008C5F3D" w:rsidRPr="006816DE" w:rsidRDefault="008C5F3D" w:rsidP="008C5F3D">
      <w:pPr>
        <w:tabs>
          <w:tab w:val="left" w:pos="708"/>
        </w:tabs>
        <w:spacing w:line="240" w:lineRule="auto"/>
        <w:rPr>
          <w:rFonts w:cs="Arial"/>
        </w:rPr>
      </w:pPr>
      <w:r w:rsidRPr="006816DE">
        <w:rPr>
          <w:rFonts w:cs="Arial"/>
        </w:rPr>
        <w:t xml:space="preserve">Veřejná zakázka </w:t>
      </w:r>
      <w:r w:rsidRPr="006816DE">
        <w:rPr>
          <w:rFonts w:cs="Arial"/>
          <w:b/>
        </w:rPr>
        <w:t xml:space="preserve">nepodléhá </w:t>
      </w:r>
      <w:r w:rsidRPr="006816DE">
        <w:rPr>
          <w:rFonts w:cs="Arial"/>
        </w:rPr>
        <w:t>režimu přenesené daňové povinnosti.</w:t>
      </w:r>
    </w:p>
    <w:p w14:paraId="6C3B59EA" w14:textId="77777777" w:rsidR="008C5F3D" w:rsidRPr="006816DE" w:rsidRDefault="008C5F3D" w:rsidP="006816DE">
      <w:pPr>
        <w:tabs>
          <w:tab w:val="left" w:pos="708"/>
        </w:tabs>
        <w:spacing w:after="120" w:line="240" w:lineRule="auto"/>
        <w:rPr>
          <w:rFonts w:cs="Arial"/>
        </w:rPr>
      </w:pPr>
      <w:r w:rsidRPr="006816DE">
        <w:rPr>
          <w:rFonts w:cs="Arial"/>
          <w:b/>
        </w:rPr>
        <w:t>Předmět veřejné zakázky</w:t>
      </w:r>
    </w:p>
    <w:p w14:paraId="3BF54A6A" w14:textId="77777777" w:rsidR="0090420F" w:rsidRPr="006816DE" w:rsidRDefault="008C5F3D" w:rsidP="0090420F">
      <w:pPr>
        <w:spacing w:line="280" w:lineRule="atLeast"/>
        <w:jc w:val="both"/>
        <w:rPr>
          <w:rFonts w:cs="Arial"/>
        </w:rPr>
      </w:pPr>
      <w:r w:rsidRPr="006816DE">
        <w:rPr>
          <w:rFonts w:cs="Arial"/>
        </w:rPr>
        <w:t>Předmětem veřejné zakázky „</w:t>
      </w:r>
      <w:r w:rsidRPr="006816DE">
        <w:rPr>
          <w:rFonts w:cs="Arial"/>
          <w:b/>
        </w:rPr>
        <w:t xml:space="preserve">Deratizace </w:t>
      </w:r>
      <w:r w:rsidR="002549EF" w:rsidRPr="006816DE">
        <w:rPr>
          <w:rFonts w:cs="Arial"/>
          <w:b/>
        </w:rPr>
        <w:t xml:space="preserve">a desinfekce </w:t>
      </w:r>
      <w:r w:rsidRPr="006816DE">
        <w:rPr>
          <w:rFonts w:cs="Arial"/>
          <w:b/>
        </w:rPr>
        <w:t>objektů v obvodu OŘ Plzeň</w:t>
      </w:r>
      <w:r w:rsidR="000D6799" w:rsidRPr="006816DE">
        <w:rPr>
          <w:rFonts w:cs="Arial"/>
          <w:b/>
        </w:rPr>
        <w:t xml:space="preserve"> 2020/</w:t>
      </w:r>
      <w:r w:rsidR="00502D5B" w:rsidRPr="006816DE">
        <w:rPr>
          <w:rFonts w:cs="Arial"/>
          <w:b/>
        </w:rPr>
        <w:t xml:space="preserve"> 2022</w:t>
      </w:r>
      <w:r w:rsidRPr="006816DE">
        <w:rPr>
          <w:rFonts w:cs="Arial"/>
        </w:rPr>
        <w:t>“ je soubor služeb DDD (deratizace, desinsekce a desinfekce) souvisejících se správou majetku ve správě Správy pozemních staveb Oblastního ředitelství Plzeň.</w:t>
      </w:r>
      <w:r w:rsidR="0090420F" w:rsidRPr="006816DE">
        <w:rPr>
          <w:rFonts w:cs="Arial"/>
        </w:rPr>
        <w:t xml:space="preserve"> </w:t>
      </w:r>
    </w:p>
    <w:p w14:paraId="4C348745" w14:textId="77777777" w:rsidR="000D6799" w:rsidRPr="006816DE" w:rsidRDefault="000D6799" w:rsidP="0090420F">
      <w:pPr>
        <w:spacing w:line="280" w:lineRule="atLeast"/>
        <w:jc w:val="both"/>
        <w:rPr>
          <w:rFonts w:cs="Arial"/>
          <w:b/>
        </w:rPr>
      </w:pPr>
      <w:r w:rsidRPr="006816DE">
        <w:rPr>
          <w:rFonts w:cs="Arial"/>
          <w:b/>
        </w:rPr>
        <w:t>Podrobný popis jednotlivých služeb DDD</w:t>
      </w:r>
    </w:p>
    <w:p w14:paraId="163635D7" w14:textId="77777777" w:rsidR="0090420F" w:rsidRPr="006816DE" w:rsidRDefault="0090420F" w:rsidP="0090420F">
      <w:pPr>
        <w:spacing w:after="120" w:line="280" w:lineRule="atLeast"/>
        <w:jc w:val="both"/>
        <w:rPr>
          <w:rFonts w:cs="Arial"/>
          <w:b/>
          <w:bCs/>
        </w:rPr>
      </w:pPr>
      <w:r w:rsidRPr="006816DE">
        <w:rPr>
          <w:rFonts w:cs="Arial"/>
          <w:b/>
          <w:bCs/>
        </w:rPr>
        <w:t xml:space="preserve">Deratizace (hlodavci) </w:t>
      </w:r>
    </w:p>
    <w:p w14:paraId="38BC2F6E" w14:textId="77777777" w:rsidR="0090420F" w:rsidRPr="006816DE" w:rsidRDefault="0090420F" w:rsidP="006816DE">
      <w:pPr>
        <w:numPr>
          <w:ilvl w:val="0"/>
          <w:numId w:val="38"/>
        </w:numPr>
        <w:spacing w:after="120" w:line="240" w:lineRule="auto"/>
        <w:ind w:left="714" w:hanging="357"/>
        <w:jc w:val="both"/>
        <w:rPr>
          <w:rFonts w:cs="Arial"/>
          <w:bCs/>
        </w:rPr>
      </w:pPr>
      <w:r w:rsidRPr="006816DE">
        <w:rPr>
          <w:rFonts w:cs="Arial"/>
          <w:bCs/>
        </w:rPr>
        <w:t xml:space="preserve">provádění </w:t>
      </w:r>
      <w:r w:rsidR="004B2FCA" w:rsidRPr="006816DE">
        <w:rPr>
          <w:rFonts w:cs="Arial"/>
          <w:bCs/>
        </w:rPr>
        <w:t>pravidelné deratizace v režimu prevence</w:t>
      </w:r>
      <w:r w:rsidRPr="006816DE">
        <w:rPr>
          <w:rFonts w:cs="Arial"/>
          <w:bCs/>
        </w:rPr>
        <w:t xml:space="preserve"> pololetně, při zjištění výskytu hlodavců i opakovaně</w:t>
      </w:r>
    </w:p>
    <w:p w14:paraId="26745CE3" w14:textId="77777777" w:rsidR="0090420F" w:rsidRPr="006816DE" w:rsidRDefault="0090420F" w:rsidP="006816DE">
      <w:pPr>
        <w:numPr>
          <w:ilvl w:val="0"/>
          <w:numId w:val="38"/>
        </w:numPr>
        <w:spacing w:after="120" w:line="240" w:lineRule="auto"/>
        <w:ind w:left="714" w:hanging="357"/>
        <w:jc w:val="both"/>
        <w:rPr>
          <w:rFonts w:cs="Arial"/>
          <w:bCs/>
        </w:rPr>
      </w:pPr>
      <w:r w:rsidRPr="006816DE">
        <w:rPr>
          <w:rFonts w:cs="Arial"/>
          <w:bCs/>
        </w:rPr>
        <w:t>vstupní prohlídka – zjištění stavu výskytu hlodavců, stanovení způsobu jejich případného odstranění</w:t>
      </w:r>
    </w:p>
    <w:p w14:paraId="591C46B5" w14:textId="4C6C4A56" w:rsidR="0090420F" w:rsidRPr="006816DE" w:rsidRDefault="0090420F" w:rsidP="006816DE">
      <w:pPr>
        <w:numPr>
          <w:ilvl w:val="0"/>
          <w:numId w:val="38"/>
        </w:numPr>
        <w:spacing w:after="120" w:line="240" w:lineRule="auto"/>
        <w:ind w:left="714" w:hanging="357"/>
        <w:jc w:val="both"/>
        <w:rPr>
          <w:rFonts w:cs="Arial"/>
          <w:bCs/>
        </w:rPr>
      </w:pPr>
      <w:r w:rsidRPr="006816DE">
        <w:rPr>
          <w:rFonts w:cs="Arial"/>
          <w:bCs/>
        </w:rPr>
        <w:t>vnitřní prostory – minimální množství 50 g nástrahy umístěné v každém deratizačním boxu, počet deratizačních boxů – viz</w:t>
      </w:r>
      <w:r w:rsidR="004B2FCA" w:rsidRPr="006816DE">
        <w:rPr>
          <w:rFonts w:cs="Arial"/>
          <w:bCs/>
        </w:rPr>
        <w:t xml:space="preserve"> </w:t>
      </w:r>
      <w:r w:rsidRPr="006816DE">
        <w:rPr>
          <w:rFonts w:cs="Arial"/>
          <w:bCs/>
        </w:rPr>
        <w:t xml:space="preserve">specifikace jednotlivých </w:t>
      </w:r>
      <w:r w:rsidR="004B2FCA" w:rsidRPr="006816DE">
        <w:rPr>
          <w:rFonts w:cs="Arial"/>
          <w:bCs/>
        </w:rPr>
        <w:t xml:space="preserve">deratizovaných </w:t>
      </w:r>
      <w:r w:rsidRPr="006816DE">
        <w:rPr>
          <w:rFonts w:cs="Arial"/>
          <w:bCs/>
        </w:rPr>
        <w:t>prostor</w:t>
      </w:r>
    </w:p>
    <w:p w14:paraId="2CD16A38" w14:textId="77777777" w:rsidR="0090420F" w:rsidRPr="006816DE" w:rsidRDefault="0090420F" w:rsidP="006816DE">
      <w:pPr>
        <w:numPr>
          <w:ilvl w:val="0"/>
          <w:numId w:val="38"/>
        </w:numPr>
        <w:spacing w:after="120" w:line="240" w:lineRule="auto"/>
        <w:ind w:left="714" w:hanging="357"/>
        <w:jc w:val="both"/>
        <w:rPr>
          <w:rFonts w:cs="Arial"/>
          <w:bCs/>
        </w:rPr>
      </w:pPr>
      <w:r w:rsidRPr="006816DE">
        <w:rPr>
          <w:rFonts w:cs="Arial"/>
          <w:bCs/>
        </w:rPr>
        <w:lastRenderedPageBreak/>
        <w:t>venkovní prostory – minimální množství 50 g nástrahy umístěné v každém deratizačním boxu, aplikace požerové nástrahy ve formě pasty k patě fasády každého objektu</w:t>
      </w:r>
    </w:p>
    <w:p w14:paraId="78E49F5C" w14:textId="77777777" w:rsidR="0090420F" w:rsidRPr="006816DE" w:rsidRDefault="0090420F" w:rsidP="006816DE">
      <w:pPr>
        <w:numPr>
          <w:ilvl w:val="0"/>
          <w:numId w:val="38"/>
        </w:numPr>
        <w:spacing w:after="120" w:line="240" w:lineRule="auto"/>
        <w:ind w:left="714" w:hanging="357"/>
        <w:jc w:val="both"/>
        <w:rPr>
          <w:rFonts w:cs="Arial"/>
          <w:bCs/>
        </w:rPr>
      </w:pPr>
      <w:r w:rsidRPr="006816DE">
        <w:rPr>
          <w:rFonts w:cs="Arial"/>
          <w:bCs/>
        </w:rPr>
        <w:t>nástraha III. generace, parafín – uložená v označených deratizačních boxech, či volně ložená nástraha – kontrola, doplňování a obměna nástrah, odstraňování starých nástrah a uhynulých jedinců</w:t>
      </w:r>
    </w:p>
    <w:p w14:paraId="75C29563" w14:textId="77777777" w:rsidR="0090420F" w:rsidRPr="006816DE" w:rsidRDefault="0090420F" w:rsidP="006816DE">
      <w:pPr>
        <w:numPr>
          <w:ilvl w:val="0"/>
          <w:numId w:val="38"/>
        </w:numPr>
        <w:spacing w:after="120" w:line="240" w:lineRule="auto"/>
        <w:ind w:left="714" w:hanging="357"/>
        <w:jc w:val="both"/>
        <w:rPr>
          <w:rFonts w:cs="Arial"/>
          <w:bCs/>
        </w:rPr>
      </w:pPr>
      <w:r w:rsidRPr="006816DE">
        <w:rPr>
          <w:rFonts w:cs="Arial"/>
          <w:bCs/>
        </w:rPr>
        <w:t xml:space="preserve">přehledná systémová dokumentace o provedených pracích, protokoly, fakturace, analýzy a trendy odběrů </w:t>
      </w:r>
    </w:p>
    <w:p w14:paraId="5EF57BC8" w14:textId="77777777" w:rsidR="0090420F" w:rsidRPr="006816DE" w:rsidRDefault="0090420F" w:rsidP="006816DE">
      <w:pPr>
        <w:spacing w:before="240" w:after="120" w:line="280" w:lineRule="atLeast"/>
        <w:jc w:val="both"/>
        <w:rPr>
          <w:rFonts w:cs="Arial"/>
          <w:b/>
          <w:bCs/>
        </w:rPr>
      </w:pPr>
      <w:r w:rsidRPr="006816DE">
        <w:rPr>
          <w:rFonts w:cs="Arial"/>
          <w:b/>
          <w:bCs/>
        </w:rPr>
        <w:t>Desinsekce (členovci)</w:t>
      </w:r>
    </w:p>
    <w:p w14:paraId="0A9A8253" w14:textId="3491018E" w:rsidR="0090420F" w:rsidRPr="006816DE" w:rsidRDefault="0090420F" w:rsidP="006816DE">
      <w:pPr>
        <w:numPr>
          <w:ilvl w:val="0"/>
          <w:numId w:val="38"/>
        </w:numPr>
        <w:spacing w:after="120" w:line="240" w:lineRule="auto"/>
        <w:jc w:val="both"/>
        <w:rPr>
          <w:rFonts w:cs="Arial"/>
          <w:bCs/>
        </w:rPr>
      </w:pPr>
      <w:r w:rsidRPr="006816DE">
        <w:rPr>
          <w:rFonts w:cs="Arial"/>
          <w:bCs/>
        </w:rPr>
        <w:t xml:space="preserve">provádění pravidelně </w:t>
      </w:r>
      <w:r w:rsidR="004B2FCA" w:rsidRPr="006816DE">
        <w:rPr>
          <w:rFonts w:cs="Arial"/>
          <w:bCs/>
        </w:rPr>
        <w:t xml:space="preserve">desinsekce </w:t>
      </w:r>
      <w:r w:rsidRPr="006816DE">
        <w:rPr>
          <w:rFonts w:cs="Arial"/>
          <w:bCs/>
        </w:rPr>
        <w:t xml:space="preserve">dle požadavku objednatele </w:t>
      </w:r>
      <w:r w:rsidR="006816DE">
        <w:rPr>
          <w:rFonts w:cs="Arial"/>
          <w:bCs/>
        </w:rPr>
        <w:t>v režimu prevence i </w:t>
      </w:r>
      <w:r w:rsidRPr="006816DE">
        <w:rPr>
          <w:rFonts w:cs="Arial"/>
          <w:bCs/>
        </w:rPr>
        <w:t>represe</w:t>
      </w:r>
    </w:p>
    <w:p w14:paraId="64865562" w14:textId="77777777" w:rsidR="0090420F" w:rsidRPr="006816DE" w:rsidRDefault="0090420F" w:rsidP="006816DE">
      <w:pPr>
        <w:numPr>
          <w:ilvl w:val="0"/>
          <w:numId w:val="38"/>
        </w:numPr>
        <w:spacing w:after="120" w:line="240" w:lineRule="auto"/>
        <w:jc w:val="both"/>
        <w:rPr>
          <w:rFonts w:cs="Arial"/>
          <w:bCs/>
        </w:rPr>
      </w:pPr>
      <w:r w:rsidRPr="006816DE">
        <w:rPr>
          <w:rFonts w:cs="Arial"/>
          <w:bCs/>
        </w:rPr>
        <w:t>vstupní prohlídka – zjištění výskytu nežádoucího hmyzu, stanovení způsobu jeho odstranění, výstupní protokol s návrhy šetření v případě zjištění stavebních a jiných závad</w:t>
      </w:r>
    </w:p>
    <w:p w14:paraId="10868964" w14:textId="77777777" w:rsidR="0090420F" w:rsidRPr="006816DE" w:rsidRDefault="004B2FCA" w:rsidP="006816DE">
      <w:pPr>
        <w:numPr>
          <w:ilvl w:val="0"/>
          <w:numId w:val="38"/>
        </w:numPr>
        <w:spacing w:after="120" w:line="240" w:lineRule="auto"/>
        <w:jc w:val="both"/>
        <w:rPr>
          <w:rFonts w:cs="Arial"/>
          <w:bCs/>
        </w:rPr>
      </w:pPr>
      <w:r w:rsidRPr="006816DE">
        <w:rPr>
          <w:rFonts w:cs="Arial"/>
          <w:bCs/>
        </w:rPr>
        <w:t>ukládání lepových pastí</w:t>
      </w:r>
      <w:r w:rsidR="0090420F" w:rsidRPr="006816DE">
        <w:rPr>
          <w:rFonts w:cs="Arial"/>
          <w:bCs/>
        </w:rPr>
        <w:t xml:space="preserve"> v označených plastových boxech – kontrola a obměna lepových pastí, odstraňování znehodnocených, nefunkčních lepových pastí a především aplikace insekticidu ve formě gelové požerové nástrahy, ošetření ploch zařízení kompletně</w:t>
      </w:r>
    </w:p>
    <w:p w14:paraId="14516D50" w14:textId="77777777" w:rsidR="0090420F" w:rsidRPr="006816DE" w:rsidRDefault="004B2FCA" w:rsidP="006816DE">
      <w:pPr>
        <w:numPr>
          <w:ilvl w:val="0"/>
          <w:numId w:val="38"/>
        </w:numPr>
        <w:spacing w:after="120" w:line="240" w:lineRule="auto"/>
        <w:jc w:val="both"/>
        <w:rPr>
          <w:rFonts w:cs="Arial"/>
          <w:bCs/>
        </w:rPr>
      </w:pPr>
      <w:r w:rsidRPr="006816DE">
        <w:rPr>
          <w:rFonts w:cs="Arial"/>
          <w:bCs/>
        </w:rPr>
        <w:t>vedení přehledné</w:t>
      </w:r>
      <w:r w:rsidR="0090420F" w:rsidRPr="006816DE">
        <w:rPr>
          <w:rFonts w:cs="Arial"/>
          <w:bCs/>
        </w:rPr>
        <w:t xml:space="preserve"> </w:t>
      </w:r>
      <w:r w:rsidRPr="006816DE">
        <w:rPr>
          <w:rFonts w:cs="Arial"/>
          <w:bCs/>
        </w:rPr>
        <w:t>systémové</w:t>
      </w:r>
      <w:r w:rsidR="0090420F" w:rsidRPr="006816DE">
        <w:rPr>
          <w:rFonts w:cs="Arial"/>
          <w:bCs/>
        </w:rPr>
        <w:t xml:space="preserve"> dokumentace o provedených pracích, protokoly, fakturace, analýzy a trendy odběrů</w:t>
      </w:r>
    </w:p>
    <w:p w14:paraId="12DB6172" w14:textId="77777777" w:rsidR="0090420F" w:rsidRPr="006816DE" w:rsidRDefault="004B2FCA" w:rsidP="004B2FCA">
      <w:pPr>
        <w:numPr>
          <w:ilvl w:val="0"/>
          <w:numId w:val="38"/>
        </w:numPr>
        <w:spacing w:line="240" w:lineRule="auto"/>
        <w:ind w:left="714" w:hanging="357"/>
        <w:jc w:val="both"/>
        <w:rPr>
          <w:rFonts w:cs="Arial"/>
          <w:bCs/>
        </w:rPr>
      </w:pPr>
      <w:r w:rsidRPr="006816DE">
        <w:rPr>
          <w:rFonts w:cs="Arial"/>
          <w:bCs/>
        </w:rPr>
        <w:t xml:space="preserve">provádění </w:t>
      </w:r>
      <w:r w:rsidR="0090420F" w:rsidRPr="006816DE">
        <w:rPr>
          <w:rFonts w:cs="Arial"/>
          <w:bCs/>
        </w:rPr>
        <w:t>označení provozu – kontrolních míst plastovými štítky</w:t>
      </w:r>
    </w:p>
    <w:p w14:paraId="0535FB8E" w14:textId="39F58671" w:rsidR="0090420F" w:rsidRPr="006816DE" w:rsidRDefault="0090420F" w:rsidP="0090420F">
      <w:pPr>
        <w:spacing w:after="120" w:line="280" w:lineRule="atLeast"/>
        <w:jc w:val="both"/>
        <w:rPr>
          <w:rFonts w:cs="Arial"/>
          <w:b/>
          <w:bCs/>
        </w:rPr>
      </w:pPr>
      <w:r w:rsidRPr="006816DE">
        <w:rPr>
          <w:rFonts w:cs="Arial"/>
          <w:b/>
          <w:bCs/>
        </w:rPr>
        <w:t>Desinfekce –</w:t>
      </w:r>
      <w:r w:rsidR="004B2FCA" w:rsidRPr="006816DE">
        <w:rPr>
          <w:rFonts w:cs="Arial"/>
          <w:b/>
          <w:bCs/>
        </w:rPr>
        <w:t xml:space="preserve"> </w:t>
      </w:r>
      <w:r w:rsidRPr="006816DE">
        <w:rPr>
          <w:rFonts w:cs="Arial"/>
          <w:b/>
          <w:bCs/>
        </w:rPr>
        <w:t>prostory dle určení objednatele</w:t>
      </w:r>
    </w:p>
    <w:p w14:paraId="03001F5A" w14:textId="77777777" w:rsidR="0090420F" w:rsidRPr="006816DE" w:rsidRDefault="0090420F" w:rsidP="006816DE">
      <w:pPr>
        <w:numPr>
          <w:ilvl w:val="0"/>
          <w:numId w:val="39"/>
        </w:numPr>
        <w:spacing w:after="120" w:line="240" w:lineRule="auto"/>
        <w:ind w:left="714" w:hanging="357"/>
        <w:jc w:val="both"/>
        <w:rPr>
          <w:rFonts w:cs="Arial"/>
          <w:bCs/>
        </w:rPr>
      </w:pPr>
      <w:r w:rsidRPr="006816DE">
        <w:rPr>
          <w:rFonts w:cs="Arial"/>
          <w:bCs/>
        </w:rPr>
        <w:t>provádění pravidelné</w:t>
      </w:r>
      <w:r w:rsidR="004B2FCA" w:rsidRPr="006816DE">
        <w:rPr>
          <w:rFonts w:cs="Arial"/>
          <w:bCs/>
        </w:rPr>
        <w:t xml:space="preserve"> desinfekce prostor dle požadavku objednatele</w:t>
      </w:r>
      <w:r w:rsidRPr="006816DE">
        <w:rPr>
          <w:rFonts w:cs="Arial"/>
          <w:bCs/>
        </w:rPr>
        <w:t xml:space="preserve"> </w:t>
      </w:r>
    </w:p>
    <w:p w14:paraId="36BF6BFB" w14:textId="77777777" w:rsidR="0090420F" w:rsidRPr="006816DE" w:rsidRDefault="004B2FCA" w:rsidP="006816DE">
      <w:pPr>
        <w:numPr>
          <w:ilvl w:val="0"/>
          <w:numId w:val="39"/>
        </w:numPr>
        <w:spacing w:after="120" w:line="240" w:lineRule="auto"/>
        <w:ind w:left="714" w:hanging="357"/>
        <w:jc w:val="both"/>
        <w:rPr>
          <w:rFonts w:cs="Arial"/>
          <w:bCs/>
        </w:rPr>
      </w:pPr>
      <w:r w:rsidRPr="006816DE">
        <w:rPr>
          <w:rFonts w:cs="Arial"/>
          <w:bCs/>
        </w:rPr>
        <w:t>provádění plošné</w:t>
      </w:r>
      <w:r w:rsidR="0090420F" w:rsidRPr="006816DE">
        <w:rPr>
          <w:rFonts w:cs="Arial"/>
          <w:bCs/>
        </w:rPr>
        <w:t xml:space="preserve">, kompletní asanace (ULV technika),  </w:t>
      </w:r>
    </w:p>
    <w:p w14:paraId="689E3D12" w14:textId="77777777" w:rsidR="0090420F" w:rsidRPr="006816DE" w:rsidRDefault="0090420F" w:rsidP="006816DE">
      <w:pPr>
        <w:numPr>
          <w:ilvl w:val="0"/>
          <w:numId w:val="39"/>
        </w:numPr>
        <w:spacing w:after="120" w:line="240" w:lineRule="auto"/>
        <w:ind w:left="714" w:hanging="357"/>
        <w:jc w:val="both"/>
        <w:rPr>
          <w:rFonts w:cs="Arial"/>
          <w:bCs/>
        </w:rPr>
      </w:pPr>
      <w:r w:rsidRPr="006816DE">
        <w:rPr>
          <w:rFonts w:cs="Arial"/>
          <w:bCs/>
        </w:rPr>
        <w:t>zajišťování kompletní ochrany prostor během celého roku</w:t>
      </w:r>
    </w:p>
    <w:p w14:paraId="1999D7EC" w14:textId="77777777" w:rsidR="008C5F3D" w:rsidRPr="006816DE" w:rsidRDefault="004B2FCA" w:rsidP="006816DE">
      <w:pPr>
        <w:numPr>
          <w:ilvl w:val="0"/>
          <w:numId w:val="39"/>
        </w:numPr>
        <w:spacing w:after="120" w:line="240" w:lineRule="auto"/>
        <w:ind w:left="714" w:hanging="357"/>
        <w:jc w:val="both"/>
        <w:rPr>
          <w:rFonts w:cs="Arial"/>
          <w:b/>
          <w:bCs/>
        </w:rPr>
      </w:pPr>
      <w:r w:rsidRPr="006816DE">
        <w:rPr>
          <w:rFonts w:cs="Arial"/>
          <w:bCs/>
        </w:rPr>
        <w:t>aplikování</w:t>
      </w:r>
      <w:r w:rsidR="0090420F" w:rsidRPr="006816DE">
        <w:rPr>
          <w:rFonts w:cs="Arial"/>
          <w:bCs/>
        </w:rPr>
        <w:t xml:space="preserve"> širokospektrálního (baktericidní, virucidní včetně COVID) biocidu s reziduální účinností </w:t>
      </w:r>
      <w:r w:rsidRPr="006816DE">
        <w:rPr>
          <w:rFonts w:cs="Arial"/>
          <w:bCs/>
        </w:rPr>
        <w:t>–</w:t>
      </w:r>
      <w:r w:rsidR="0090420F" w:rsidRPr="006816DE">
        <w:rPr>
          <w:rFonts w:cs="Arial"/>
          <w:bCs/>
        </w:rPr>
        <w:t xml:space="preserve"> </w:t>
      </w:r>
      <w:r w:rsidR="0090420F" w:rsidRPr="006816DE">
        <w:rPr>
          <w:rFonts w:cs="Arial"/>
          <w:b/>
          <w:bCs/>
        </w:rPr>
        <w:t>polymerovou nanotechnologii s reziduálními účinky minimálně 21 dní</w:t>
      </w:r>
    </w:p>
    <w:p w14:paraId="3DFD404B" w14:textId="77777777" w:rsidR="004B2FCA" w:rsidRPr="006816DE" w:rsidRDefault="004B2FCA" w:rsidP="004B2FCA">
      <w:pPr>
        <w:spacing w:after="0" w:line="240" w:lineRule="auto"/>
        <w:ind w:left="714"/>
        <w:jc w:val="both"/>
        <w:rPr>
          <w:rFonts w:cs="Arial"/>
          <w:b/>
          <w:bCs/>
        </w:rPr>
      </w:pPr>
    </w:p>
    <w:p w14:paraId="379842A1" w14:textId="77777777" w:rsidR="008C5F3D" w:rsidRPr="006816DE" w:rsidRDefault="008C5F3D" w:rsidP="006816DE">
      <w:pPr>
        <w:tabs>
          <w:tab w:val="left" w:pos="708"/>
        </w:tabs>
        <w:spacing w:after="120" w:line="240" w:lineRule="auto"/>
        <w:rPr>
          <w:rFonts w:cs="Arial"/>
        </w:rPr>
      </w:pPr>
      <w:r w:rsidRPr="006816DE">
        <w:rPr>
          <w:rFonts w:cs="Arial"/>
        </w:rPr>
        <w:t>Předmět</w:t>
      </w:r>
      <w:r w:rsidR="000D6799" w:rsidRPr="006816DE">
        <w:rPr>
          <w:rFonts w:cs="Arial"/>
        </w:rPr>
        <w:t xml:space="preserve"> zakázky je vymezen dalšími přílohami</w:t>
      </w:r>
      <w:r w:rsidRPr="006816DE">
        <w:rPr>
          <w:rFonts w:cs="Arial"/>
        </w:rPr>
        <w:t>:</w:t>
      </w:r>
    </w:p>
    <w:p w14:paraId="6740FBF8" w14:textId="77777777" w:rsidR="008C5F3D" w:rsidRPr="006816DE" w:rsidRDefault="008C5F3D" w:rsidP="006816DE">
      <w:pPr>
        <w:spacing w:after="120" w:line="240" w:lineRule="auto"/>
        <w:rPr>
          <w:rFonts w:cs="Arial"/>
          <w:b/>
        </w:rPr>
      </w:pPr>
      <w:r w:rsidRPr="006816DE">
        <w:rPr>
          <w:rFonts w:cs="Arial"/>
          <w:b/>
        </w:rPr>
        <w:t xml:space="preserve">č. </w:t>
      </w:r>
      <w:r w:rsidR="001635C5" w:rsidRPr="006816DE">
        <w:rPr>
          <w:rFonts w:cs="Arial"/>
          <w:b/>
        </w:rPr>
        <w:t>1</w:t>
      </w:r>
      <w:r w:rsidRPr="006816DE">
        <w:rPr>
          <w:rFonts w:cs="Arial"/>
          <w:b/>
        </w:rPr>
        <w:t xml:space="preserve">a) </w:t>
      </w:r>
      <w:r w:rsidRPr="006816DE">
        <w:rPr>
          <w:rFonts w:cs="Arial"/>
          <w:b/>
        </w:rPr>
        <w:tab/>
        <w:t>Seznam nemovitého majetku ve správě OŘ Plzeň</w:t>
      </w:r>
    </w:p>
    <w:p w14:paraId="430F3EFF" w14:textId="77777777" w:rsidR="008C5F3D" w:rsidRPr="006816DE" w:rsidRDefault="00502D5B" w:rsidP="006816DE">
      <w:pPr>
        <w:spacing w:line="240" w:lineRule="auto"/>
        <w:rPr>
          <w:rFonts w:cs="Arial"/>
          <w:b/>
        </w:rPr>
      </w:pPr>
      <w:r w:rsidRPr="006816DE">
        <w:rPr>
          <w:rFonts w:cs="Arial"/>
          <w:b/>
        </w:rPr>
        <w:t xml:space="preserve">č. </w:t>
      </w:r>
      <w:r w:rsidR="001635C5" w:rsidRPr="006816DE">
        <w:rPr>
          <w:rFonts w:cs="Arial"/>
          <w:b/>
        </w:rPr>
        <w:t>1</w:t>
      </w:r>
      <w:r w:rsidRPr="006816DE">
        <w:rPr>
          <w:rFonts w:cs="Arial"/>
          <w:b/>
        </w:rPr>
        <w:t>b)</w:t>
      </w:r>
      <w:r w:rsidRPr="006816DE">
        <w:rPr>
          <w:rFonts w:cs="Arial"/>
          <w:b/>
        </w:rPr>
        <w:tab/>
      </w:r>
      <w:r w:rsidR="008C5F3D" w:rsidRPr="006816DE">
        <w:rPr>
          <w:rFonts w:cs="Arial"/>
          <w:b/>
        </w:rPr>
        <w:t xml:space="preserve">Vymezení obvodu Oblastního ředitelství Plzeň </w:t>
      </w:r>
    </w:p>
    <w:p w14:paraId="3AF097AD" w14:textId="1856287C" w:rsidR="008C5F3D" w:rsidRPr="006816DE" w:rsidRDefault="008C5F3D" w:rsidP="008C5F3D">
      <w:pPr>
        <w:tabs>
          <w:tab w:val="left" w:pos="708"/>
        </w:tabs>
        <w:spacing w:after="120" w:line="240" w:lineRule="auto"/>
        <w:rPr>
          <w:rFonts w:cs="Arial"/>
        </w:rPr>
      </w:pPr>
      <w:r w:rsidRPr="006816DE">
        <w:rPr>
          <w:rFonts w:cs="Arial"/>
        </w:rPr>
        <w:t>Jedná se o služby DDD spojené se správou pozemních staveb v obvodu Oblastního ředitelství Plzeň. Pro tuto veřejnou zakázku jsou součástí budov i příslušné přípojky inženýrských sítí včetně souvisejících objektů. Konkrétní seznam nemovitého majetku ve správě SPS OŘ Plzeň je uveden v </w:t>
      </w:r>
      <w:r w:rsidRPr="006816DE">
        <w:rPr>
          <w:rFonts w:cs="Arial"/>
          <w:b/>
        </w:rPr>
        <w:t>příloze č.</w:t>
      </w:r>
      <w:r w:rsidR="001635C5" w:rsidRPr="006816DE">
        <w:rPr>
          <w:rFonts w:cs="Arial"/>
          <w:b/>
        </w:rPr>
        <w:t xml:space="preserve"> 1a</w:t>
      </w:r>
      <w:r w:rsidRPr="006816DE">
        <w:rPr>
          <w:rFonts w:cs="Arial"/>
          <w:b/>
        </w:rPr>
        <w:t>)</w:t>
      </w:r>
      <w:r w:rsidRPr="006816DE">
        <w:rPr>
          <w:rFonts w:cs="Arial"/>
        </w:rPr>
        <w:t xml:space="preserve"> této </w:t>
      </w:r>
      <w:r w:rsidR="005E6B68" w:rsidRPr="006816DE">
        <w:rPr>
          <w:rFonts w:cs="Arial"/>
        </w:rPr>
        <w:t>technické zprávy</w:t>
      </w:r>
      <w:r w:rsidRPr="006816DE">
        <w:rPr>
          <w:rFonts w:cs="Arial"/>
        </w:rPr>
        <w:t xml:space="preserve">. V průběhu realizace veřejné zakázky se může rozsah spravovaného majetku měnit a to v souvislosti se začleňováním a vyřazováním majetku nebo z důvodu organizačních opatření zadavatele.      </w:t>
      </w:r>
    </w:p>
    <w:p w14:paraId="473F62EA" w14:textId="77777777" w:rsidR="008C5F3D" w:rsidRPr="006816DE" w:rsidRDefault="008C5F3D" w:rsidP="008C5F3D">
      <w:pPr>
        <w:tabs>
          <w:tab w:val="left" w:pos="708"/>
        </w:tabs>
        <w:spacing w:line="240" w:lineRule="auto"/>
        <w:rPr>
          <w:rFonts w:cs="Arial"/>
        </w:rPr>
      </w:pPr>
      <w:r w:rsidRPr="006816DE">
        <w:rPr>
          <w:rFonts w:cs="Arial"/>
        </w:rPr>
        <w:t>Další podmínky k provedení prací: zajištění ekologické likvidace odpadů vzniklých při provádění zadaných služeb.</w:t>
      </w:r>
    </w:p>
    <w:p w14:paraId="65C27F3A" w14:textId="77777777" w:rsidR="008C5F3D" w:rsidRPr="007938F7" w:rsidRDefault="008C5F3D" w:rsidP="000D6799">
      <w:pPr>
        <w:tabs>
          <w:tab w:val="left" w:pos="708"/>
        </w:tabs>
        <w:spacing w:after="120" w:line="240" w:lineRule="auto"/>
        <w:rPr>
          <w:rFonts w:cs="Arial"/>
          <w:b/>
        </w:rPr>
      </w:pPr>
      <w:r w:rsidRPr="007938F7">
        <w:rPr>
          <w:rFonts w:cs="Arial"/>
          <w:b/>
        </w:rPr>
        <w:t>Způsob objednávání a zpracovávání nabídek</w:t>
      </w:r>
    </w:p>
    <w:p w14:paraId="7197B433" w14:textId="7F34C27A" w:rsidR="008C5F3D" w:rsidRPr="006B7B6F" w:rsidRDefault="008C5F3D" w:rsidP="007938F7">
      <w:pPr>
        <w:tabs>
          <w:tab w:val="left" w:pos="708"/>
        </w:tabs>
        <w:spacing w:after="120" w:line="240" w:lineRule="auto"/>
        <w:rPr>
          <w:rFonts w:cs="Arial"/>
        </w:rPr>
      </w:pPr>
      <w:r w:rsidRPr="007938F7">
        <w:rPr>
          <w:rFonts w:cs="Arial"/>
        </w:rPr>
        <w:t xml:space="preserve">Služby DDD </w:t>
      </w:r>
      <w:r w:rsidRPr="006B7B6F">
        <w:rPr>
          <w:rFonts w:cs="Arial"/>
        </w:rPr>
        <w:t xml:space="preserve">budou ze strany zadavatele objednávány prostřednictvím dílčích objednávek. Před vystavením dílčí objednávky bude ze strany zadavatele elektronicky (e-mailem) zaslán požadavek na provedení DDD včetně požadovaného termínu dokončení prací. </w:t>
      </w:r>
      <w:r w:rsidR="007938F7" w:rsidRPr="006B7B6F">
        <w:rPr>
          <w:rFonts w:cs="Arial"/>
        </w:rPr>
        <w:t>Zhotovitel</w:t>
      </w:r>
      <w:r w:rsidRPr="006B7B6F">
        <w:rPr>
          <w:rFonts w:cs="Arial"/>
        </w:rPr>
        <w:t xml:space="preserve"> potvrdí zadavateli přijetí požadavku a ve lhůtě </w:t>
      </w:r>
      <w:r w:rsidR="00194546" w:rsidRPr="006B7B6F">
        <w:rPr>
          <w:rFonts w:cs="Arial"/>
        </w:rPr>
        <w:t xml:space="preserve">stanovené v požadavku </w:t>
      </w:r>
      <w:r w:rsidRPr="006B7B6F">
        <w:rPr>
          <w:rFonts w:cs="Arial"/>
        </w:rPr>
        <w:t xml:space="preserve">zpracuje cenovou nabídku na provedení prací. Součástí cenové nabídky bude ze strany </w:t>
      </w:r>
      <w:r w:rsidR="007938F7" w:rsidRPr="006B7B6F">
        <w:rPr>
          <w:rFonts w:cs="Arial"/>
        </w:rPr>
        <w:t>zhotovitele</w:t>
      </w:r>
      <w:r w:rsidRPr="006B7B6F">
        <w:rPr>
          <w:rFonts w:cs="Arial"/>
        </w:rPr>
        <w:t xml:space="preserve"> potvrzen požadovaný termín dokončení prací nebo bude nabídnut jiný, který se po vystavení dílčí objednávky stane pro </w:t>
      </w:r>
      <w:r w:rsidR="007938F7" w:rsidRPr="006B7B6F">
        <w:rPr>
          <w:rFonts w:cs="Arial"/>
        </w:rPr>
        <w:t>zhotovitele</w:t>
      </w:r>
      <w:r w:rsidRPr="006B7B6F">
        <w:rPr>
          <w:rFonts w:cs="Arial"/>
        </w:rPr>
        <w:t xml:space="preserve"> závazným.</w:t>
      </w:r>
    </w:p>
    <w:p w14:paraId="03EDCBEF" w14:textId="57E203B0" w:rsidR="007938F7" w:rsidRPr="006B7B6F" w:rsidRDefault="007938F7" w:rsidP="008C5F3D">
      <w:pPr>
        <w:tabs>
          <w:tab w:val="left" w:pos="708"/>
        </w:tabs>
        <w:spacing w:line="240" w:lineRule="auto"/>
        <w:rPr>
          <w:rFonts w:cs="Arial"/>
        </w:rPr>
      </w:pPr>
      <w:r w:rsidRPr="006B7B6F">
        <w:rPr>
          <w:rFonts w:cs="Arial"/>
        </w:rPr>
        <w:t xml:space="preserve">Pro zpracování nabídky na základě požadavku zadavatele je stanovena </w:t>
      </w:r>
      <w:r w:rsidR="00194546" w:rsidRPr="006B7B6F">
        <w:rPr>
          <w:rFonts w:cs="Arial"/>
        </w:rPr>
        <w:t>lhůta minimálně 5 pracovních dní.</w:t>
      </w:r>
    </w:p>
    <w:p w14:paraId="63E90A73" w14:textId="77777777" w:rsidR="008C5F3D" w:rsidRPr="007938F7" w:rsidRDefault="008C5F3D" w:rsidP="000D6799">
      <w:pPr>
        <w:tabs>
          <w:tab w:val="left" w:pos="708"/>
        </w:tabs>
        <w:spacing w:after="120" w:line="240" w:lineRule="auto"/>
        <w:rPr>
          <w:rFonts w:cs="Arial"/>
          <w:b/>
        </w:rPr>
      </w:pPr>
      <w:r w:rsidRPr="007938F7">
        <w:rPr>
          <w:rFonts w:cs="Arial"/>
          <w:b/>
        </w:rPr>
        <w:lastRenderedPageBreak/>
        <w:t xml:space="preserve">Způsob zpracování nabídky    </w:t>
      </w:r>
    </w:p>
    <w:p w14:paraId="7E42DCC7" w14:textId="72938111" w:rsidR="008C5F3D" w:rsidRPr="006B7B6F" w:rsidRDefault="008C5F3D" w:rsidP="000D6799">
      <w:pPr>
        <w:tabs>
          <w:tab w:val="left" w:pos="708"/>
        </w:tabs>
        <w:spacing w:after="120" w:line="240" w:lineRule="auto"/>
        <w:rPr>
          <w:rFonts w:cs="Arial"/>
        </w:rPr>
      </w:pPr>
      <w:r w:rsidRPr="00A6447A">
        <w:rPr>
          <w:rFonts w:cs="Arial"/>
        </w:rPr>
        <w:t xml:space="preserve">Ke </w:t>
      </w:r>
      <w:r w:rsidRPr="006B7B6F">
        <w:rPr>
          <w:rFonts w:cs="Arial"/>
        </w:rPr>
        <w:t xml:space="preserve">zpracování nabídky </w:t>
      </w:r>
      <w:r w:rsidR="007A201B" w:rsidRPr="006B7B6F">
        <w:rPr>
          <w:rFonts w:cs="Arial"/>
        </w:rPr>
        <w:t>zhotovitel</w:t>
      </w:r>
      <w:r w:rsidRPr="006B7B6F">
        <w:rPr>
          <w:rFonts w:cs="Arial"/>
        </w:rPr>
        <w:t xml:space="preserve"> využije oceněný soupis služeb DDD. Součástí služby je i dodávka materiálu potřebného pro realizaci požadované služby oceněného v soupisu služeb. Zadavatel si vyhrazuje právo předem odsouhlasit druhy materiálu. </w:t>
      </w:r>
    </w:p>
    <w:p w14:paraId="661CB9EC" w14:textId="5CCC9FB1" w:rsidR="008C5F3D" w:rsidRPr="006B7B6F" w:rsidRDefault="007A201B" w:rsidP="008C5F3D">
      <w:pPr>
        <w:tabs>
          <w:tab w:val="left" w:pos="708"/>
        </w:tabs>
        <w:spacing w:line="240" w:lineRule="auto"/>
        <w:rPr>
          <w:rFonts w:cs="Arial"/>
        </w:rPr>
      </w:pPr>
      <w:r w:rsidRPr="006B7B6F">
        <w:rPr>
          <w:rFonts w:cs="Arial"/>
        </w:rPr>
        <w:t>Zhotovitel</w:t>
      </w:r>
      <w:r w:rsidR="008C5F3D" w:rsidRPr="006B7B6F">
        <w:rPr>
          <w:rFonts w:cs="Arial"/>
        </w:rPr>
        <w:t xml:space="preserve"> může v opodstatněných případech k nabídce uvádět i ostatní náklady s ohledem na charakter konkrétní zakázky. Ostatní náklady se uvádí a oceňují v rámci nabídky s využitím položek uvedených v oceněném soupisu služeb. Ostatní náklady jsou náklady, které musí </w:t>
      </w:r>
      <w:r w:rsidRPr="006B7B6F">
        <w:rPr>
          <w:rFonts w:cs="Arial"/>
        </w:rPr>
        <w:t>zhotovitel</w:t>
      </w:r>
      <w:r w:rsidR="008C5F3D" w:rsidRPr="006B7B6F">
        <w:rPr>
          <w:rFonts w:cs="Arial"/>
        </w:rPr>
        <w:t xml:space="preserve"> nezbytně vynaložit pro provedení prací (např. doprava zaměstnanců a materiálu</w:t>
      </w:r>
      <w:r w:rsidR="008C5F3D" w:rsidRPr="006B7B6F">
        <w:t>, č</w:t>
      </w:r>
      <w:r w:rsidR="008C5F3D" w:rsidRPr="006B7B6F">
        <w:rPr>
          <w:rFonts w:cs="Arial"/>
        </w:rPr>
        <w:t xml:space="preserve">innost technika při monitorování stavu objektu, administrativní činnost spojená se zásahem, práce technika při DDD činnosti). </w:t>
      </w:r>
    </w:p>
    <w:p w14:paraId="10096601" w14:textId="77777777" w:rsidR="008C5F3D" w:rsidRPr="006B7B6F" w:rsidRDefault="008C5F3D" w:rsidP="000D6799">
      <w:pPr>
        <w:tabs>
          <w:tab w:val="left" w:pos="708"/>
        </w:tabs>
        <w:spacing w:after="120" w:line="240" w:lineRule="auto"/>
        <w:rPr>
          <w:rFonts w:cs="Arial"/>
          <w:b/>
        </w:rPr>
      </w:pPr>
      <w:r w:rsidRPr="006B7B6F">
        <w:rPr>
          <w:rFonts w:cs="Arial"/>
          <w:b/>
        </w:rPr>
        <w:t xml:space="preserve">Způsob realizace výkonu    </w:t>
      </w:r>
    </w:p>
    <w:p w14:paraId="539AE3A4" w14:textId="77777777" w:rsidR="008C5F3D" w:rsidRPr="00A6447A" w:rsidRDefault="008C5F3D" w:rsidP="008C5F3D">
      <w:pPr>
        <w:tabs>
          <w:tab w:val="left" w:pos="708"/>
        </w:tabs>
        <w:spacing w:line="240" w:lineRule="auto"/>
        <w:rPr>
          <w:rFonts w:cs="Arial"/>
        </w:rPr>
      </w:pPr>
      <w:r w:rsidRPr="006B7B6F">
        <w:rPr>
          <w:rFonts w:cs="Arial"/>
        </w:rPr>
        <w:t xml:space="preserve">Realizace jednotlivých služeb DDD je možná pouze po schválení cenové nabídky ze strany zadavatele a vystavení dílčí objednávky </w:t>
      </w:r>
      <w:r w:rsidRPr="00A6447A">
        <w:rPr>
          <w:rFonts w:cs="Arial"/>
        </w:rPr>
        <w:t>pověřenou osobou zadavatele. Termín dokončení prací, který byl ze strany zadavatele schválen v rámci cenové nabídky, se může v odůvodněných případech změnit a to pouze po písemném souhlasu zadavatele formou dodatku k dílčí objednávce.</w:t>
      </w:r>
    </w:p>
    <w:p w14:paraId="781BFC04" w14:textId="77777777" w:rsidR="008C5F3D" w:rsidRPr="00112F44" w:rsidRDefault="008C5F3D" w:rsidP="000D6799">
      <w:pPr>
        <w:tabs>
          <w:tab w:val="left" w:pos="708"/>
        </w:tabs>
        <w:spacing w:after="120" w:line="240" w:lineRule="auto"/>
        <w:rPr>
          <w:rFonts w:cs="Arial"/>
          <w:b/>
        </w:rPr>
      </w:pPr>
      <w:r w:rsidRPr="00112F44">
        <w:rPr>
          <w:rFonts w:cs="Arial"/>
          <w:b/>
        </w:rPr>
        <w:t xml:space="preserve">Způsob vykazování výkonu    </w:t>
      </w:r>
    </w:p>
    <w:p w14:paraId="64A025CE" w14:textId="49A3C732" w:rsidR="008C5F3D" w:rsidRPr="006B7B6F" w:rsidRDefault="008C5F3D" w:rsidP="008C5F3D">
      <w:pPr>
        <w:tabs>
          <w:tab w:val="left" w:pos="708"/>
        </w:tabs>
        <w:spacing w:line="240" w:lineRule="auto"/>
        <w:rPr>
          <w:rFonts w:cs="Arial"/>
        </w:rPr>
      </w:pPr>
      <w:r w:rsidRPr="00112F44">
        <w:rPr>
          <w:rFonts w:cs="Arial"/>
        </w:rPr>
        <w:t xml:space="preserve">Výkony budou průběžně monitorovány </w:t>
      </w:r>
      <w:r w:rsidRPr="006B7B6F">
        <w:rPr>
          <w:rFonts w:cs="Arial"/>
        </w:rPr>
        <w:t xml:space="preserve">prostřednictvím zadavatele. </w:t>
      </w:r>
      <w:r w:rsidR="007A201B" w:rsidRPr="006B7B6F">
        <w:rPr>
          <w:rFonts w:cs="Arial"/>
        </w:rPr>
        <w:t>Zhotovitel</w:t>
      </w:r>
      <w:r w:rsidRPr="006B7B6F">
        <w:rPr>
          <w:rFonts w:cs="Arial"/>
        </w:rPr>
        <w:t xml:space="preserve"> musí být schopen předložit před fakturací přehledy realizovaných služeb DDD. Poté proběhne fakturace odsouhlasených služeb DDD. </w:t>
      </w:r>
    </w:p>
    <w:p w14:paraId="6ED72F84" w14:textId="77777777" w:rsidR="008C5F3D" w:rsidRPr="006816DE" w:rsidRDefault="008C5F3D" w:rsidP="008C5F3D">
      <w:pPr>
        <w:tabs>
          <w:tab w:val="left" w:pos="708"/>
        </w:tabs>
        <w:spacing w:line="240" w:lineRule="auto"/>
        <w:rPr>
          <w:rFonts w:cs="Arial"/>
        </w:rPr>
      </w:pPr>
    </w:p>
    <w:p w14:paraId="5046D96E" w14:textId="77777777" w:rsidR="008C5F3D" w:rsidRPr="006816DE" w:rsidRDefault="008C5F3D" w:rsidP="008C5F3D">
      <w:pPr>
        <w:tabs>
          <w:tab w:val="left" w:pos="708"/>
        </w:tabs>
        <w:spacing w:line="240" w:lineRule="auto"/>
        <w:rPr>
          <w:rFonts w:cs="Arial"/>
        </w:rPr>
      </w:pPr>
    </w:p>
    <w:p w14:paraId="4910422D" w14:textId="77777777" w:rsidR="008C5F3D" w:rsidRPr="006816DE" w:rsidRDefault="008C5F3D" w:rsidP="008C5F3D">
      <w:pPr>
        <w:tabs>
          <w:tab w:val="left" w:pos="708"/>
        </w:tabs>
        <w:spacing w:line="240" w:lineRule="auto"/>
        <w:rPr>
          <w:rFonts w:cs="Arial"/>
        </w:rPr>
      </w:pPr>
    </w:p>
    <w:p w14:paraId="0FC7A3CC" w14:textId="77777777" w:rsidR="008C5F3D" w:rsidRPr="006816DE" w:rsidRDefault="008C5F3D" w:rsidP="008C5F3D">
      <w:pPr>
        <w:tabs>
          <w:tab w:val="left" w:pos="708"/>
        </w:tabs>
        <w:spacing w:line="240" w:lineRule="auto"/>
        <w:rPr>
          <w:rFonts w:cs="Arial"/>
        </w:rPr>
      </w:pPr>
      <w:r w:rsidRPr="006816DE">
        <w:rPr>
          <w:rFonts w:cs="Arial"/>
        </w:rPr>
        <w:t xml:space="preserve">                                          </w:t>
      </w:r>
      <w:bookmarkStart w:id="0" w:name="_GoBack"/>
      <w:bookmarkEnd w:id="0"/>
    </w:p>
    <w:sectPr w:rsidR="008C5F3D" w:rsidRPr="006816D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FD25BC" w14:textId="77777777" w:rsidR="002F0C61" w:rsidRDefault="002F0C61" w:rsidP="00962258">
      <w:pPr>
        <w:spacing w:after="0" w:line="240" w:lineRule="auto"/>
      </w:pPr>
      <w:r>
        <w:separator/>
      </w:r>
    </w:p>
  </w:endnote>
  <w:endnote w:type="continuationSeparator" w:id="0">
    <w:p w14:paraId="00FDFCB4" w14:textId="77777777" w:rsidR="002F0C61" w:rsidRDefault="002F0C6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7B227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54ED85D" w14:textId="6714F46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B7B6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B7B6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CF355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43DFE0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9465D6D" w14:textId="77777777" w:rsidR="00F1715C" w:rsidRDefault="00F1715C" w:rsidP="00D831A3">
          <w:pPr>
            <w:pStyle w:val="Zpat"/>
          </w:pPr>
        </w:p>
      </w:tc>
    </w:tr>
  </w:tbl>
  <w:p w14:paraId="5DE649C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CE38DD7" wp14:editId="40C566D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DBC08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006478D" wp14:editId="3BF3CE1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A0678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D2598F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928FB64" w14:textId="18B56DB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B7B6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B7B6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40F73A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B596C5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09E6AF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87AA7CD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484390B" w14:textId="03C8E0FF" w:rsidR="00F1715C" w:rsidRDefault="006816DE" w:rsidP="00460660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14:paraId="7F8D1F1A" w14:textId="77777777" w:rsidR="00F760B1" w:rsidRPr="00B45E9E" w:rsidRDefault="00F760B1" w:rsidP="00F760B1">
          <w:pPr>
            <w:pStyle w:val="Zpat"/>
            <w:rPr>
              <w:b/>
            </w:rPr>
          </w:pPr>
          <w:r>
            <w:rPr>
              <w:b/>
            </w:rPr>
            <w:t>Oblastní ředitelství Plzeň</w:t>
          </w:r>
        </w:p>
        <w:p w14:paraId="63EF2CEB" w14:textId="77777777" w:rsidR="00F760B1" w:rsidRPr="00B45E9E" w:rsidRDefault="00F760B1" w:rsidP="00F760B1">
          <w:pPr>
            <w:pStyle w:val="Zpat"/>
            <w:rPr>
              <w:b/>
            </w:rPr>
          </w:pPr>
          <w:r>
            <w:rPr>
              <w:b/>
            </w:rPr>
            <w:t>Sušická 1168/23</w:t>
          </w:r>
        </w:p>
        <w:p w14:paraId="699B129A" w14:textId="77777777" w:rsidR="00F1715C" w:rsidRDefault="00F760B1" w:rsidP="00F760B1">
          <w:pPr>
            <w:pStyle w:val="Zpat"/>
          </w:pPr>
          <w:r>
            <w:rPr>
              <w:b/>
            </w:rPr>
            <w:t>326 00 Plzeň</w:t>
          </w:r>
        </w:p>
      </w:tc>
    </w:tr>
  </w:tbl>
  <w:p w14:paraId="266A926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14EF364" wp14:editId="3CDC16A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27591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25DB78B" wp14:editId="4057362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7ECFB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17F3C5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8A8B4F" w14:textId="77777777" w:rsidR="002F0C61" w:rsidRDefault="002F0C61" w:rsidP="00962258">
      <w:pPr>
        <w:spacing w:after="0" w:line="240" w:lineRule="auto"/>
      </w:pPr>
      <w:r>
        <w:separator/>
      </w:r>
    </w:p>
  </w:footnote>
  <w:footnote w:type="continuationSeparator" w:id="0">
    <w:p w14:paraId="7D1C324D" w14:textId="77777777" w:rsidR="002F0C61" w:rsidRDefault="002F0C6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69BF87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17495D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A46AF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A838E8" w14:textId="77777777" w:rsidR="00F1715C" w:rsidRPr="00D6163D" w:rsidRDefault="00F1715C" w:rsidP="00D6163D">
          <w:pPr>
            <w:pStyle w:val="Druhdokumentu"/>
          </w:pPr>
        </w:p>
      </w:tc>
    </w:tr>
  </w:tbl>
  <w:p w14:paraId="5896F0E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F5961D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03757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26282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DED335" w14:textId="77777777" w:rsidR="00F1715C" w:rsidRPr="00D6163D" w:rsidRDefault="00F1715C" w:rsidP="00FC6389">
          <w:pPr>
            <w:pStyle w:val="Druhdokumentu"/>
          </w:pPr>
        </w:p>
      </w:tc>
    </w:tr>
    <w:tr w:rsidR="009F392E" w14:paraId="55EB8D3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30B1075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83177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2273A12" w14:textId="77777777" w:rsidR="009F392E" w:rsidRPr="00D6163D" w:rsidRDefault="009F392E" w:rsidP="00FC6389">
          <w:pPr>
            <w:pStyle w:val="Druhdokumentu"/>
          </w:pPr>
        </w:p>
      </w:tc>
    </w:tr>
  </w:tbl>
  <w:p w14:paraId="48957E8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35B7CD" wp14:editId="0ED8E17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A23CB1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E17B5"/>
    <w:multiLevelType w:val="hybridMultilevel"/>
    <w:tmpl w:val="95EC2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1CC01EC"/>
    <w:multiLevelType w:val="hybridMultilevel"/>
    <w:tmpl w:val="C1BE35EC"/>
    <w:lvl w:ilvl="0" w:tplc="EF286BDE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57019"/>
    <w:multiLevelType w:val="hybridMultilevel"/>
    <w:tmpl w:val="845EAC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DD610D"/>
    <w:multiLevelType w:val="hybridMultilevel"/>
    <w:tmpl w:val="474C86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344779E"/>
    <w:multiLevelType w:val="hybridMultilevel"/>
    <w:tmpl w:val="F52AFAE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3DE71710"/>
    <w:multiLevelType w:val="hybridMultilevel"/>
    <w:tmpl w:val="BC56E5A8"/>
    <w:lvl w:ilvl="0" w:tplc="39F02FE2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D46142"/>
    <w:multiLevelType w:val="hybridMultilevel"/>
    <w:tmpl w:val="5B867A1A"/>
    <w:lvl w:ilvl="0" w:tplc="0CC8CCEE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266F2A"/>
    <w:multiLevelType w:val="hybridMultilevel"/>
    <w:tmpl w:val="11B0DBCC"/>
    <w:lvl w:ilvl="0" w:tplc="F0CC74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F31B60"/>
    <w:multiLevelType w:val="hybridMultilevel"/>
    <w:tmpl w:val="CD2C8E5E"/>
    <w:lvl w:ilvl="0" w:tplc="C0DA1A4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AF0A8C"/>
    <w:multiLevelType w:val="multilevel"/>
    <w:tmpl w:val="0D34D660"/>
    <w:numStyleLink w:val="ListBulletmultilevel"/>
  </w:abstractNum>
  <w:abstractNum w:abstractNumId="17" w15:restartNumberingAfterBreak="0">
    <w:nsid w:val="74070991"/>
    <w:multiLevelType w:val="multilevel"/>
    <w:tmpl w:val="CABE99FC"/>
    <w:numStyleLink w:val="ListNumbermultilevel"/>
  </w:abstractNum>
  <w:num w:numId="1">
    <w:abstractNumId w:val="5"/>
  </w:num>
  <w:num w:numId="2">
    <w:abstractNumId w:val="2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6"/>
  </w:num>
  <w:num w:numId="6">
    <w:abstractNumId w:val="8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7"/>
  </w:num>
  <w:num w:numId="17">
    <w:abstractNumId w:val="5"/>
  </w:num>
  <w:num w:numId="18">
    <w:abstractNumId w:val="17"/>
  </w:num>
  <w:num w:numId="19">
    <w:abstractNumId w:val="17"/>
  </w:num>
  <w:num w:numId="20">
    <w:abstractNumId w:val="17"/>
  </w:num>
  <w:num w:numId="21">
    <w:abstractNumId w:val="17"/>
  </w:num>
  <w:num w:numId="22">
    <w:abstractNumId w:val="8"/>
  </w:num>
  <w:num w:numId="23">
    <w:abstractNumId w:val="2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7"/>
  </w:num>
  <w:num w:numId="29">
    <w:abstractNumId w:val="5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14"/>
  </w:num>
  <w:num w:numId="35">
    <w:abstractNumId w:val="12"/>
  </w:num>
  <w:num w:numId="36">
    <w:abstractNumId w:val="15"/>
  </w:num>
  <w:num w:numId="37">
    <w:abstractNumId w:val="3"/>
  </w:num>
  <w:num w:numId="38">
    <w:abstractNumId w:val="1"/>
  </w:num>
  <w:num w:numId="39">
    <w:abstractNumId w:val="7"/>
  </w:num>
  <w:num w:numId="40">
    <w:abstractNumId w:val="9"/>
  </w:num>
  <w:num w:numId="41">
    <w:abstractNumId w:val="4"/>
  </w:num>
  <w:num w:numId="42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9D"/>
    <w:rsid w:val="00026E70"/>
    <w:rsid w:val="00062077"/>
    <w:rsid w:val="00072C1E"/>
    <w:rsid w:val="00081590"/>
    <w:rsid w:val="000B7192"/>
    <w:rsid w:val="000D27A1"/>
    <w:rsid w:val="000D6799"/>
    <w:rsid w:val="000E23A7"/>
    <w:rsid w:val="0010693F"/>
    <w:rsid w:val="00112F44"/>
    <w:rsid w:val="00114472"/>
    <w:rsid w:val="00121C39"/>
    <w:rsid w:val="001550BC"/>
    <w:rsid w:val="001605B9"/>
    <w:rsid w:val="001635C5"/>
    <w:rsid w:val="00170EC5"/>
    <w:rsid w:val="00171538"/>
    <w:rsid w:val="001747C1"/>
    <w:rsid w:val="00184743"/>
    <w:rsid w:val="00194546"/>
    <w:rsid w:val="00207DF5"/>
    <w:rsid w:val="00220AA3"/>
    <w:rsid w:val="0022145A"/>
    <w:rsid w:val="00241E25"/>
    <w:rsid w:val="002549EF"/>
    <w:rsid w:val="00267528"/>
    <w:rsid w:val="00280E07"/>
    <w:rsid w:val="0028627D"/>
    <w:rsid w:val="002C31BF"/>
    <w:rsid w:val="002D08B1"/>
    <w:rsid w:val="002E0CD7"/>
    <w:rsid w:val="002E3A7B"/>
    <w:rsid w:val="002F0C61"/>
    <w:rsid w:val="00322084"/>
    <w:rsid w:val="00341DCF"/>
    <w:rsid w:val="00357BC6"/>
    <w:rsid w:val="003956C6"/>
    <w:rsid w:val="003F0871"/>
    <w:rsid w:val="00441430"/>
    <w:rsid w:val="00450688"/>
    <w:rsid w:val="00450F07"/>
    <w:rsid w:val="00453CD3"/>
    <w:rsid w:val="00460660"/>
    <w:rsid w:val="00486107"/>
    <w:rsid w:val="00491827"/>
    <w:rsid w:val="00493D69"/>
    <w:rsid w:val="004B2FCA"/>
    <w:rsid w:val="004B348C"/>
    <w:rsid w:val="004C4399"/>
    <w:rsid w:val="004C787C"/>
    <w:rsid w:val="004E143C"/>
    <w:rsid w:val="004E3A53"/>
    <w:rsid w:val="004F4B9B"/>
    <w:rsid w:val="004F69EA"/>
    <w:rsid w:val="00502D5B"/>
    <w:rsid w:val="00511AB9"/>
    <w:rsid w:val="00517D21"/>
    <w:rsid w:val="00523EA7"/>
    <w:rsid w:val="00553375"/>
    <w:rsid w:val="00557C28"/>
    <w:rsid w:val="005736B7"/>
    <w:rsid w:val="005755E0"/>
    <w:rsid w:val="00575E5A"/>
    <w:rsid w:val="00575E8F"/>
    <w:rsid w:val="005C7F23"/>
    <w:rsid w:val="005E6B68"/>
    <w:rsid w:val="005F1404"/>
    <w:rsid w:val="005F6433"/>
    <w:rsid w:val="0061068E"/>
    <w:rsid w:val="0063154F"/>
    <w:rsid w:val="00660AD3"/>
    <w:rsid w:val="00677B7F"/>
    <w:rsid w:val="006816DE"/>
    <w:rsid w:val="006A4445"/>
    <w:rsid w:val="006A5570"/>
    <w:rsid w:val="006A689C"/>
    <w:rsid w:val="006B3D79"/>
    <w:rsid w:val="006B7B6F"/>
    <w:rsid w:val="006D6C43"/>
    <w:rsid w:val="006D7AFE"/>
    <w:rsid w:val="006E0578"/>
    <w:rsid w:val="006E0B40"/>
    <w:rsid w:val="006E314D"/>
    <w:rsid w:val="00710723"/>
    <w:rsid w:val="00723ED1"/>
    <w:rsid w:val="00740DA1"/>
    <w:rsid w:val="00743525"/>
    <w:rsid w:val="0076286B"/>
    <w:rsid w:val="00766846"/>
    <w:rsid w:val="0077673A"/>
    <w:rsid w:val="007846E1"/>
    <w:rsid w:val="00790A07"/>
    <w:rsid w:val="007938F7"/>
    <w:rsid w:val="007A201B"/>
    <w:rsid w:val="007B570C"/>
    <w:rsid w:val="007C589B"/>
    <w:rsid w:val="007E4A6E"/>
    <w:rsid w:val="007F56A7"/>
    <w:rsid w:val="00807DD0"/>
    <w:rsid w:val="008659F3"/>
    <w:rsid w:val="008775C5"/>
    <w:rsid w:val="00886D4B"/>
    <w:rsid w:val="00895406"/>
    <w:rsid w:val="008A3568"/>
    <w:rsid w:val="008C5F3D"/>
    <w:rsid w:val="008D03B9"/>
    <w:rsid w:val="008D339D"/>
    <w:rsid w:val="008F08C3"/>
    <w:rsid w:val="008F18D6"/>
    <w:rsid w:val="0090420F"/>
    <w:rsid w:val="00904780"/>
    <w:rsid w:val="00906DBC"/>
    <w:rsid w:val="009163AE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2893"/>
    <w:rsid w:val="009F392E"/>
    <w:rsid w:val="00A17B2D"/>
    <w:rsid w:val="00A6177B"/>
    <w:rsid w:val="00A6447A"/>
    <w:rsid w:val="00A65259"/>
    <w:rsid w:val="00A66136"/>
    <w:rsid w:val="00AA4CBB"/>
    <w:rsid w:val="00AA65FA"/>
    <w:rsid w:val="00AA7351"/>
    <w:rsid w:val="00AD056F"/>
    <w:rsid w:val="00AD6731"/>
    <w:rsid w:val="00AE0DA2"/>
    <w:rsid w:val="00AE1CB0"/>
    <w:rsid w:val="00B15A7F"/>
    <w:rsid w:val="00B15D0D"/>
    <w:rsid w:val="00B75EE1"/>
    <w:rsid w:val="00B77481"/>
    <w:rsid w:val="00B8518B"/>
    <w:rsid w:val="00B9555A"/>
    <w:rsid w:val="00BD7E91"/>
    <w:rsid w:val="00C02D0A"/>
    <w:rsid w:val="00C03A6E"/>
    <w:rsid w:val="00C44F6A"/>
    <w:rsid w:val="00C47AE3"/>
    <w:rsid w:val="00CD1FC4"/>
    <w:rsid w:val="00D12BAA"/>
    <w:rsid w:val="00D21061"/>
    <w:rsid w:val="00D4108E"/>
    <w:rsid w:val="00D505CA"/>
    <w:rsid w:val="00D6163D"/>
    <w:rsid w:val="00D73D46"/>
    <w:rsid w:val="00D831A3"/>
    <w:rsid w:val="00DC3133"/>
    <w:rsid w:val="00DC75F3"/>
    <w:rsid w:val="00DD46F3"/>
    <w:rsid w:val="00DE56F2"/>
    <w:rsid w:val="00DF116D"/>
    <w:rsid w:val="00E16483"/>
    <w:rsid w:val="00E279A1"/>
    <w:rsid w:val="00E50E25"/>
    <w:rsid w:val="00E803F9"/>
    <w:rsid w:val="00EB104F"/>
    <w:rsid w:val="00ED14BD"/>
    <w:rsid w:val="00EE4794"/>
    <w:rsid w:val="00F0533E"/>
    <w:rsid w:val="00F1048D"/>
    <w:rsid w:val="00F12B45"/>
    <w:rsid w:val="00F12DEC"/>
    <w:rsid w:val="00F1715C"/>
    <w:rsid w:val="00F310F8"/>
    <w:rsid w:val="00F35939"/>
    <w:rsid w:val="00F45607"/>
    <w:rsid w:val="00F5558F"/>
    <w:rsid w:val="00F57580"/>
    <w:rsid w:val="00F659EB"/>
    <w:rsid w:val="00F760B1"/>
    <w:rsid w:val="00F86BA6"/>
    <w:rsid w:val="00F940E7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1FB3AB3"/>
  <w14:defaultImageDpi w14:val="32767"/>
  <w15:docId w15:val="{8415027D-42EB-4F40-8BF3-422B2D82B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8F08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08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08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08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08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01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are%20D\00S&#381;DC_O&#344;\LOGO_Spr&#225;va%20&#382;eleznic_zm&#283;na%20n&#225;zvu%202020\VZORY%20DOKUMENT&#366;%20O&#344;_Spr&#225;va%20&#382;eleznic_O&#344;%20PLZ_platn&#233;\sprava-zeleznic_hlavickovy-papir_v8_PRIKLAD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42B36-DA4D-449B-8962-568AC0D26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FEFC412-35D5-46BF-9236-267741BEA0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5E37BE-6430-4744-9D06-D83165A853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F8E1E2B-9592-4F8D-8F40-40E668B77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sprava-zeleznic_hlavickovy-papir_v8_PRIKLAD</Template>
  <TotalTime>21</TotalTime>
  <Pages>3</Pages>
  <Words>858</Words>
  <Characters>5063</Characters>
  <Application>Microsoft Office Word</Application>
  <DocSecurity>0</DocSecurity>
  <Lines>42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Zitová Zdeňka</dc:creator>
  <cp:lastModifiedBy>Urbánková Markéta</cp:lastModifiedBy>
  <cp:revision>9</cp:revision>
  <cp:lastPrinted>2017-11-28T17:18:00Z</cp:lastPrinted>
  <dcterms:created xsi:type="dcterms:W3CDTF">2020-10-10T08:32:00Z</dcterms:created>
  <dcterms:modified xsi:type="dcterms:W3CDTF">2020-10-13T07:21:00Z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